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мяса крупного рогатого скота, 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Приемная живая масса*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(кг)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 × 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 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>- для граждан, не перешедших на специальный налоговый режим «налог на профессиональный доход» 1 000,00 кг в год на одно хозяйство</w:t>
      </w:r>
    </w:p>
    <w:p>
      <w:pPr>
        <w:pStyle w:val="Normal"/>
        <w:ind w:left="140" w:hanging="140"/>
        <w:jc w:val="both"/>
        <w:rPr/>
      </w:pPr>
      <w:r>
        <w:rPr/>
        <w:t>- для граждан, перешедших на специальный налоговый режим «налог на профессиональный доход» 5 000, 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</w:t>
      </w:r>
      <w:r>
        <w:rPr/>
        <w:t>(должность)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f5242a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f5242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a7ad6"/>
    <w:pPr>
      <w:spacing w:before="0" w:after="0"/>
      <w:ind w:left="720" w:hanging="0"/>
      <w:contextualSpacing/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LibreOffice/7.4.3.2$Windows_X86_64 LibreOffice_project/1048a8393ae2eeec98dff31b5c133c5f1d08b890</Application>
  <AppVersion>15.0000</AppVersion>
  <Pages>1</Pages>
  <Words>212</Words>
  <Characters>1542</Characters>
  <CharactersWithSpaces>2003</CharactersWithSpaces>
  <Paragraphs>51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2024-07-12T16:06:16Z</dcterms:modified>
  <cp:revision>15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